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061B" w:rsidRPr="00A01DEE" w:rsidRDefault="004C061B" w:rsidP="004C061B">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75113F" w:rsidRPr="0075113F">
        <w:rPr>
          <w:b/>
          <w:sz w:val="24"/>
          <w:szCs w:val="24"/>
          <w:lang w:eastAsia="ko-KR"/>
        </w:rPr>
        <w:t>R1-200214</w:t>
      </w:r>
      <w:r w:rsidR="0075113F">
        <w:rPr>
          <w:b/>
          <w:sz w:val="24"/>
          <w:szCs w:val="24"/>
          <w:lang w:eastAsia="ko-KR"/>
        </w:rPr>
        <w:t>7</w:t>
      </w:r>
      <w:bookmarkStart w:id="2" w:name="_GoBack"/>
      <w:bookmarkEnd w:id="2"/>
    </w:p>
    <w:bookmarkEnd w:id="0"/>
    <w:p w:rsidR="007A57E2" w:rsidRPr="001F2CD1" w:rsidRDefault="004C061B" w:rsidP="004C061B">
      <w:pPr>
        <w:pStyle w:val="Header"/>
        <w:spacing w:after="240"/>
        <w:rPr>
          <w:rFonts w:eastAsia="Malgun Gothic"/>
          <w:noProof w:val="0"/>
          <w:color w:val="000000"/>
          <w:sz w:val="24"/>
          <w:szCs w:val="24"/>
          <w:lang w:val="en-US" w:eastAsia="ko-KR"/>
        </w:rPr>
      </w:pPr>
      <w:r w:rsidRPr="00905282">
        <w:rPr>
          <w:rFonts w:cs="Arial"/>
          <w:bCs/>
          <w:sz w:val="24"/>
          <w:szCs w:val="24"/>
          <w:lang w:eastAsia="ja-JP"/>
        </w:rPr>
        <w:t>e-Meeting, April 20</w:t>
      </w:r>
      <w:r w:rsidRPr="00905282">
        <w:rPr>
          <w:rFonts w:cs="Arial"/>
          <w:bCs/>
          <w:sz w:val="24"/>
          <w:szCs w:val="24"/>
          <w:vertAlign w:val="superscript"/>
          <w:lang w:eastAsia="ja-JP"/>
        </w:rPr>
        <w:t>th</w:t>
      </w:r>
      <w:r w:rsidRPr="00905282">
        <w:rPr>
          <w:rFonts w:cs="Arial"/>
          <w:bCs/>
          <w:sz w:val="24"/>
          <w:szCs w:val="24"/>
          <w:lang w:eastAsia="ja-JP"/>
        </w:rPr>
        <w:t xml:space="preserve"> – 30</w:t>
      </w:r>
      <w:r w:rsidRPr="00905282">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5C5FBF">
        <w:rPr>
          <w:rFonts w:ascii="Arial" w:hAnsi="Arial"/>
          <w:color w:val="000000"/>
          <w:sz w:val="24"/>
          <w:szCs w:val="24"/>
        </w:rPr>
        <w:t>4</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C5FBF" w:rsidRPr="005C5FBF">
        <w:rPr>
          <w:rFonts w:ascii="Arial" w:eastAsia="Malgun Gothic" w:hAnsi="Arial"/>
          <w:color w:val="000000"/>
          <w:sz w:val="24"/>
        </w:rPr>
        <w:t>Physical-layer procedures to support UE/gNB measurements</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w:t>
      </w:r>
      <w:r w:rsidR="004C061B">
        <w:rPr>
          <w:rFonts w:eastAsia="Malgun Gothic"/>
          <w:color w:val="000000"/>
        </w:rPr>
        <w:t>100-e</w:t>
      </w:r>
      <w:r>
        <w:rPr>
          <w:rFonts w:eastAsia="Malgun Gothic"/>
          <w:color w:val="000000"/>
        </w:rPr>
        <w:t xml:space="preserve"> [1].</w:t>
      </w:r>
    </w:p>
    <w:p w:rsidR="00264558" w:rsidRPr="00C6463F" w:rsidRDefault="00264558" w:rsidP="00264558">
      <w:r w:rsidRPr="00C6463F">
        <w:rPr>
          <w:highlight w:val="green"/>
        </w:rPr>
        <w:t>Agreement:</w:t>
      </w:r>
    </w:p>
    <w:p w:rsidR="00264558" w:rsidRPr="00C6463F" w:rsidRDefault="00264558" w:rsidP="00264558">
      <w:r w:rsidRPr="00C6463F">
        <w:t xml:space="preserve">The TP for TS 38.214, clause 5.1.6.5, in Section 3 of </w:t>
      </w:r>
      <w:hyperlink r:id="rId8" w:history="1">
        <w:r>
          <w:rPr>
            <w:rStyle w:val="Hyperlink"/>
          </w:rPr>
          <w:t>R1-2001364</w:t>
        </w:r>
      </w:hyperlink>
      <w:r w:rsidRPr="00C6463F">
        <w:t xml:space="preserve"> is agreed.</w:t>
      </w:r>
    </w:p>
    <w:p w:rsidR="00264558" w:rsidRPr="00F36211" w:rsidRDefault="00264558" w:rsidP="00264558"/>
    <w:p w:rsidR="00264558" w:rsidRDefault="00264558" w:rsidP="00264558">
      <w:r w:rsidRPr="00C655A3">
        <w:rPr>
          <w:highlight w:val="green"/>
        </w:rPr>
        <w:t>Agreement:</w:t>
      </w:r>
    </w:p>
    <w:p w:rsidR="00264558" w:rsidRDefault="00264558" w:rsidP="00264558">
      <w:r w:rsidRPr="00C655A3">
        <w:t xml:space="preserve">Proposals 1-7 in </w:t>
      </w:r>
      <w:r>
        <w:t xml:space="preserve">Section 3 of </w:t>
      </w:r>
      <w:hyperlink r:id="rId9" w:history="1">
        <w:r>
          <w:rPr>
            <w:rStyle w:val="Hyperlink"/>
          </w:rPr>
          <w:t>R1-2001365</w:t>
        </w:r>
      </w:hyperlink>
      <w:r w:rsidRPr="00C655A3">
        <w:t xml:space="preserve"> </w:t>
      </w:r>
      <w:r>
        <w:t xml:space="preserve">including text proposals for TS38.213 and TS38.214 </w:t>
      </w:r>
      <w:r w:rsidRPr="00C655A3">
        <w:t>are agreed</w:t>
      </w:r>
    </w:p>
    <w:p w:rsidR="00264558" w:rsidRDefault="00264558" w:rsidP="00264558"/>
    <w:p w:rsidR="00264558" w:rsidRPr="00E76B23" w:rsidRDefault="00264558" w:rsidP="00264558">
      <w:r w:rsidRPr="00E76B23">
        <w:rPr>
          <w:highlight w:val="green"/>
        </w:rPr>
        <w:t>Agreement:</w:t>
      </w:r>
    </w:p>
    <w:p w:rsidR="00264558" w:rsidRPr="00E76B23" w:rsidRDefault="00264558" w:rsidP="00264558">
      <w:r w:rsidRPr="00E76B23">
        <w:t xml:space="preserve">The text proposal for TS 38.213, clause 7.3.1, in Section 3 of </w:t>
      </w:r>
      <w:hyperlink r:id="rId10" w:history="1">
        <w:r>
          <w:rPr>
            <w:rStyle w:val="Hyperlink"/>
          </w:rPr>
          <w:t>R1-2001366</w:t>
        </w:r>
      </w:hyperlink>
      <w:r w:rsidRPr="00E76B23">
        <w:t xml:space="preserve"> is agreed.</w:t>
      </w:r>
    </w:p>
    <w:p w:rsidR="00264558" w:rsidRDefault="00264558" w:rsidP="008005D2">
      <w:pPr>
        <w:widowControl/>
        <w:wordWrap/>
        <w:autoSpaceDE/>
        <w:autoSpaceDN/>
        <w:ind w:firstLine="284"/>
        <w:rPr>
          <w:lang w:val="en-GB"/>
        </w:rPr>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w:t>
      </w:r>
      <w:r w:rsidR="00FA46FA">
        <w:rPr>
          <w:lang w:val="en-GB"/>
        </w:rPr>
        <w:t>p</w:t>
      </w:r>
      <w:r w:rsidR="008C6C22" w:rsidRPr="008C6C22">
        <w:rPr>
          <w:lang w:val="en-GB"/>
        </w:rPr>
        <w:t>hysical-layer procedures to support UE/gNB measurements</w:t>
      </w:r>
      <w:r>
        <w:rPr>
          <w:lang w:val="en-GB"/>
        </w:rPr>
        <w:t>.</w:t>
      </w:r>
    </w:p>
    <w:p w:rsidR="008005D2" w:rsidRDefault="008C6C22" w:rsidP="008C6C22">
      <w:pPr>
        <w:pStyle w:val="Heading1"/>
      </w:pPr>
      <w:r w:rsidRPr="008C6C22">
        <w:t>Physical-layer procedures to support UE/gNB measurements</w:t>
      </w:r>
    </w:p>
    <w:p w:rsidR="008005D2" w:rsidRDefault="008C6C22" w:rsidP="008005D2">
      <w:pPr>
        <w:wordWrap/>
        <w:spacing w:before="60" w:after="60" w:line="288" w:lineRule="auto"/>
        <w:ind w:firstLine="284"/>
        <w:jc w:val="both"/>
      </w:pPr>
      <w:r>
        <w:t xml:space="preserve">It has been agreed that some SSB assistance data will be provided for DL-PRD processing. </w:t>
      </w:r>
      <w:r w:rsidR="00F00BDF">
        <w:t>In our view, SMTC per SSB frequency layer should also be provided since during the period, SSB from neighboring cells is transmitted for measurement. Therefore, the working assumption should be confirmed.</w:t>
      </w:r>
    </w:p>
    <w:p w:rsidR="00F00BDF" w:rsidRPr="00F00BDF" w:rsidRDefault="00F00BDF" w:rsidP="00F00BDF">
      <w:pPr>
        <w:wordWrap/>
        <w:spacing w:before="60" w:after="60" w:line="288" w:lineRule="auto"/>
        <w:jc w:val="both"/>
        <w:rPr>
          <w:i/>
        </w:rPr>
      </w:pPr>
      <w:r w:rsidRPr="00F00BDF">
        <w:rPr>
          <w:b/>
          <w:i/>
        </w:rPr>
        <w:t>Proposal 1</w:t>
      </w:r>
      <w:r w:rsidRPr="00F00BDF">
        <w:rPr>
          <w:i/>
        </w:rPr>
        <w:t>: The following working assumption should be confirmed.</w:t>
      </w:r>
    </w:p>
    <w:p w:rsidR="008C6C22" w:rsidRPr="0060316B" w:rsidRDefault="008C6C22" w:rsidP="008C6C22">
      <w:pPr>
        <w:pStyle w:val="ListParagraph"/>
        <w:numPr>
          <w:ilvl w:val="0"/>
          <w:numId w:val="24"/>
        </w:numPr>
        <w:overflowPunct w:val="0"/>
        <w:autoSpaceDE w:val="0"/>
        <w:autoSpaceDN w:val="0"/>
        <w:adjustRightInd w:val="0"/>
        <w:textAlignment w:val="baseline"/>
        <w:rPr>
          <w:lang w:val="en-US" w:eastAsia="ko-KR"/>
        </w:rPr>
      </w:pPr>
      <w:r w:rsidRPr="00A63D18">
        <w:rPr>
          <w:lang w:eastAsia="ko-KR"/>
        </w:rPr>
        <w:t>For DL-PRS processing, the following SSB assistance data can be provided for an indicated SSB:</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ssbFrequency</w:t>
      </w:r>
      <w:r w:rsidRPr="00A63D18">
        <w:rPr>
          <w:lang w:eastAsia="ko-KR"/>
        </w:rPr>
        <w:t xml:space="preserve"> with values: </w:t>
      </w:r>
      <w:r w:rsidRPr="0060316B">
        <w:rPr>
          <w:i/>
          <w:iCs/>
          <w:lang w:eastAsia="ko-KR"/>
        </w:rPr>
        <w:t>ARFCN-ValueNR</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halfFrameIndex</w:t>
      </w:r>
      <w:r w:rsidRPr="00A63D18">
        <w:rPr>
          <w:lang w:eastAsia="ko-KR"/>
        </w:rPr>
        <w:t xml:space="preserve"> with values: 0 or 1</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r w:rsidRPr="0060316B">
        <w:rPr>
          <w:i/>
          <w:iCs/>
          <w:lang w:eastAsia="ko-KR"/>
        </w:rPr>
        <w:t>ServingCellConfigCommon</w:t>
      </w:r>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SSB-positionInBurst</w:t>
      </w:r>
      <w:r w:rsidRPr="00A63D18">
        <w:rPr>
          <w:lang w:eastAsia="ko-KR"/>
        </w:rPr>
        <w:t xml:space="preserve"> with values: of </w:t>
      </w:r>
      <w:r w:rsidRPr="0060316B">
        <w:rPr>
          <w:i/>
          <w:iCs/>
          <w:lang w:eastAsia="ko-KR"/>
        </w:rPr>
        <w:t>ServingCellConfigCommon</w:t>
      </w:r>
      <w:r w:rsidRPr="00A63D18">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lang w:eastAsia="ko-KR"/>
        </w:rPr>
        <w:t>ssbSubcarrierSpacing</w:t>
      </w:r>
      <w:r>
        <w:rPr>
          <w:lang w:eastAsia="ko-KR"/>
        </w:rPr>
        <w:t xml:space="preserve"> with values: </w:t>
      </w:r>
      <w:r w:rsidRPr="0060316B">
        <w:rPr>
          <w:i/>
          <w:lang w:eastAsia="ko-KR"/>
        </w:rPr>
        <w:t>SubcarrierSpacing</w:t>
      </w:r>
      <w:r>
        <w:rPr>
          <w:lang w:eastAsia="ko-KR"/>
        </w:rPr>
        <w:t xml:space="preserve"> IE</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SFN-SSBoffset</w:t>
      </w:r>
      <w:r w:rsidRPr="00A63D18">
        <w:rPr>
          <w:lang w:eastAsia="ko-KR"/>
        </w:rPr>
        <w:t xml:space="preserve"> with values {0,1,2,…15}</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r w:rsidRPr="0060316B">
        <w:rPr>
          <w:i/>
          <w:iCs/>
          <w:lang w:eastAsia="ko-KR"/>
        </w:rPr>
        <w:t xml:space="preserve">Smtc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8C6C22" w:rsidRPr="0060316B" w:rsidRDefault="008C6C22" w:rsidP="008C6C22">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264558" w:rsidRDefault="00264558" w:rsidP="00FA46FA">
      <w:pPr>
        <w:wordWrap/>
        <w:spacing w:before="60" w:after="60" w:line="288" w:lineRule="auto"/>
        <w:ind w:firstLine="284"/>
        <w:jc w:val="both"/>
      </w:pPr>
    </w:p>
    <w:p w:rsidR="00264558" w:rsidRDefault="00264558" w:rsidP="00264558">
      <w:pPr>
        <w:wordWrap/>
        <w:spacing w:before="60" w:after="60" w:line="288" w:lineRule="auto"/>
        <w:ind w:firstLine="284"/>
        <w:jc w:val="both"/>
      </w:pPr>
      <w:r>
        <w:t>Another issue is the power control mechanism. The following text is in 38.213.</w:t>
      </w:r>
    </w:p>
    <w:p w:rsidR="00264558" w:rsidRPr="00B916EC" w:rsidRDefault="00264558" w:rsidP="00264558">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264558" w:rsidRPr="00B916EC" w:rsidRDefault="00264558" w:rsidP="00264558">
      <w:pPr>
        <w:pStyle w:val="EQ"/>
        <w:jc w:val="center"/>
      </w:pPr>
      <w:r>
        <w:rPr>
          <w:position w:val="-32"/>
          <w:lang w:val="en-GB" w:eastAsia="zh-CN"/>
        </w:rPr>
        <w:drawing>
          <wp:inline distT="0" distB="0" distL="0" distR="0" wp14:anchorId="704CC085" wp14:editId="4B82A3E1">
            <wp:extent cx="4602480" cy="4648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264558" w:rsidRPr="00B916EC" w:rsidRDefault="00264558" w:rsidP="00264558">
      <w:r w:rsidRPr="00B916EC">
        <w:t>where,</w:t>
      </w:r>
      <w:r>
        <w:t xml:space="preserve"> </w:t>
      </w:r>
    </w:p>
    <w:p w:rsidR="00264558" w:rsidRPr="0071532D" w:rsidRDefault="00264558" w:rsidP="00264558">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264558" w:rsidRDefault="00264558" w:rsidP="00264558">
      <w:pPr>
        <w:pStyle w:val="B1"/>
      </w:pPr>
      <w:r w:rsidRPr="00B06441">
        <w:lastRenderedPageBreak/>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 </w:t>
      </w:r>
      <w:r>
        <w:t>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264558" w:rsidRDefault="00264558" w:rsidP="00264558">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264558" w:rsidRPr="00CF25C3" w:rsidRDefault="00264558" w:rsidP="00264558">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264558" w:rsidRDefault="00264558" w:rsidP="00264558">
      <w:pPr>
        <w:wordWrap/>
        <w:spacing w:before="60" w:after="60" w:line="288" w:lineRule="auto"/>
        <w:ind w:firstLine="284"/>
        <w:jc w:val="both"/>
      </w:pPr>
      <w:r>
        <w:t xml:space="preserve">It is mentioned that pathloss of the neighboring cell can be estimated </w:t>
      </w:r>
      <w:r w:rsidRPr="006564DE">
        <w:t xml:space="preserve">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Pr>
          <w:lang w:eastAsia="ja-JP"/>
        </w:rPr>
        <w:t>. Since the same SRS should be received by multiple neighboring cells for positioning, this SRS resource set q</w:t>
      </w:r>
      <w:r w:rsidRPr="00132177">
        <w:rPr>
          <w:vertAlign w:val="subscript"/>
          <w:lang w:eastAsia="ja-JP"/>
        </w:rPr>
        <w:t>s</w:t>
      </w:r>
      <w:r>
        <w:rPr>
          <w:lang w:eastAsia="ja-JP"/>
        </w:rPr>
        <w:t xml:space="preserve"> is supposed to be received by multiple cells using the same transmission power. However, how to choose this transmission power for non-serving cells is not clear. The natural solution is UE </w:t>
      </w:r>
      <w:r>
        <w:t>identifies the weakest link quality and then UE transmits based on the weakest link quality as long as it is lower than the maximum allowed transmit power per carrier to ensure successful reception of SRS by the non-serving cells. Therefore, the following TP is proposed.</w:t>
      </w:r>
    </w:p>
    <w:p w:rsidR="00264558" w:rsidRDefault="00264558" w:rsidP="00264558">
      <w:pPr>
        <w:wordWrap/>
        <w:spacing w:before="60" w:after="60" w:line="288" w:lineRule="auto"/>
        <w:ind w:firstLine="284"/>
        <w:jc w:val="both"/>
      </w:pPr>
      <w:r>
        <w:t>***********************************</w:t>
      </w:r>
      <w:r w:rsidRPr="00A67F07">
        <w:t xml:space="preserve"> </w:t>
      </w:r>
      <w:r>
        <w:t>TP for TS 38.213********************************************</w:t>
      </w:r>
    </w:p>
    <w:p w:rsidR="00264558" w:rsidRPr="00B916EC" w:rsidRDefault="00264558" w:rsidP="00264558">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264558" w:rsidRPr="00B916EC" w:rsidRDefault="00264558" w:rsidP="00264558">
      <w:pPr>
        <w:pStyle w:val="EQ"/>
        <w:jc w:val="center"/>
      </w:pPr>
      <w:r>
        <w:rPr>
          <w:position w:val="-32"/>
          <w:lang w:val="en-GB" w:eastAsia="zh-CN"/>
        </w:rPr>
        <w:drawing>
          <wp:inline distT="0" distB="0" distL="0" distR="0" wp14:anchorId="6DD5C86D" wp14:editId="3D76E7B2">
            <wp:extent cx="4602480" cy="464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264558" w:rsidRPr="00B916EC" w:rsidRDefault="00264558" w:rsidP="00264558">
      <w:r w:rsidRPr="00B916EC">
        <w:t>where,</w:t>
      </w:r>
      <w:r>
        <w:t xml:space="preserve"> </w:t>
      </w:r>
    </w:p>
    <w:p w:rsidR="00264558" w:rsidRPr="0071532D" w:rsidRDefault="00264558" w:rsidP="00264558">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264558" w:rsidRDefault="00264558" w:rsidP="00264558">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w:t>
      </w:r>
      <w:r w:rsidRPr="00A67F07">
        <w:rPr>
          <w:highlight w:val="yellow"/>
        </w:rPr>
        <w:t xml:space="preserve">, where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ja-JP"/>
              </w:rPr>
            </m:ctrlPr>
          </m:dPr>
          <m:e>
            <m:sSub>
              <m:sSubPr>
                <m:ctrlPr>
                  <w:rPr>
                    <w:rFonts w:ascii="Cambria Math" w:hAnsi="Cambria Math"/>
                    <w:i/>
                    <w:highlight w:val="yellow"/>
                    <w:lang w:eastAsia="ja-JP"/>
                  </w:rPr>
                </m:ctrlPr>
              </m:sSubPr>
              <m:e>
                <m:r>
                  <w:rPr>
                    <w:rFonts w:ascii="Cambria Math" w:hAnsi="Cambria Math"/>
                    <w:highlight w:val="yellow"/>
                    <w:lang w:eastAsia="ja-JP"/>
                  </w:rPr>
                  <m:t>q</m:t>
                </m:r>
              </m:e>
              <m:sub>
                <m:r>
                  <w:rPr>
                    <w:rFonts w:ascii="Cambria Math" w:hAnsi="Cambria Math"/>
                    <w:highlight w:val="yellow"/>
                    <w:lang w:eastAsia="ja-JP"/>
                  </w:rPr>
                  <m:t>s</m:t>
                </m:r>
              </m:sub>
            </m:sSub>
          </m:e>
        </m:d>
      </m:oMath>
      <w:r w:rsidRPr="00A67F07">
        <w:rPr>
          <w:highlight w:val="yellow"/>
          <w:lang w:eastAsia="ja-JP"/>
        </w:rPr>
        <w:t xml:space="preserve"> </w:t>
      </w:r>
      <w:r w:rsidRPr="00A67F07">
        <w:rPr>
          <w:highlight w:val="yellow"/>
        </w:rPr>
        <w:t>is the smallest value of all measured non-serving cells.</w:t>
      </w:r>
      <w:r>
        <w:t xml:space="preserve"> 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264558" w:rsidRDefault="00264558" w:rsidP="00264558">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264558" w:rsidRPr="00CF25C3" w:rsidRDefault="00264558" w:rsidP="00264558">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264558" w:rsidRDefault="00264558" w:rsidP="00264558">
      <w:pPr>
        <w:wordWrap/>
        <w:spacing w:before="60" w:after="60" w:line="288" w:lineRule="auto"/>
        <w:ind w:firstLine="284"/>
        <w:jc w:val="both"/>
      </w:pPr>
      <w:r>
        <w:t>***********************************TP for TS 38.213*******************************************</w:t>
      </w:r>
    </w:p>
    <w:p w:rsidR="00264558" w:rsidRDefault="00264558" w:rsidP="00264558">
      <w:pPr>
        <w:wordWrap/>
        <w:spacing w:before="60" w:after="60" w:line="288" w:lineRule="auto"/>
        <w:jc w:val="both"/>
        <w:rPr>
          <w:i/>
        </w:rPr>
      </w:pPr>
      <w:r w:rsidRPr="00FA46FA">
        <w:rPr>
          <w:b/>
          <w:i/>
        </w:rPr>
        <w:t>Proposal 2</w:t>
      </w:r>
      <w:r>
        <w:rPr>
          <w:i/>
        </w:rPr>
        <w:t xml:space="preserve">: </w:t>
      </w:r>
      <w:r w:rsidRPr="00A67F07">
        <w:rPr>
          <w:i/>
        </w:rPr>
        <w:t xml:space="preserve">UE </w:t>
      </w:r>
      <w:r>
        <w:rPr>
          <w:i/>
        </w:rPr>
        <w:t>should</w:t>
      </w:r>
      <w:r w:rsidRPr="00A67F07">
        <w:rPr>
          <w:i/>
        </w:rPr>
        <w:t xml:space="preserve"> </w:t>
      </w:r>
      <w:r>
        <w:rPr>
          <w:i/>
        </w:rPr>
        <w:t xml:space="preserve">identify </w:t>
      </w:r>
      <w:r w:rsidRPr="00A67F07">
        <w:rPr>
          <w:i/>
        </w:rPr>
        <w:t>the weakest link quality and transmit based on the weakest link quality as long as it is lower than the maximum allowed transmit power per carrier to ensure successful reception of SRS by the non-serving cells</w:t>
      </w:r>
      <w:r>
        <w:rPr>
          <w:i/>
        </w:rPr>
        <w:t>. The following TP should be captured in TS 38.213.</w:t>
      </w:r>
    </w:p>
    <w:p w:rsidR="00264558" w:rsidRDefault="00264558" w:rsidP="00264558">
      <w:pPr>
        <w:wordWrap/>
        <w:spacing w:before="60" w:after="60" w:line="288" w:lineRule="auto"/>
        <w:ind w:firstLine="284"/>
        <w:jc w:val="both"/>
      </w:pPr>
      <w:r>
        <w:t>***********************************</w:t>
      </w:r>
      <w:r w:rsidRPr="00A67F07">
        <w:t xml:space="preserve"> </w:t>
      </w:r>
      <w:r>
        <w:t>TP for TS 38.213********************************************</w:t>
      </w:r>
    </w:p>
    <w:p w:rsidR="00264558" w:rsidRPr="00B916EC" w:rsidRDefault="00264558" w:rsidP="00264558">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264558" w:rsidRPr="00B916EC" w:rsidRDefault="00264558" w:rsidP="00264558">
      <w:pPr>
        <w:pStyle w:val="EQ"/>
        <w:jc w:val="center"/>
      </w:pPr>
      <w:r>
        <w:rPr>
          <w:position w:val="-32"/>
          <w:lang w:val="en-GB" w:eastAsia="zh-CN"/>
        </w:rPr>
        <w:drawing>
          <wp:inline distT="0" distB="0" distL="0" distR="0" wp14:anchorId="15A3794C" wp14:editId="3B712616">
            <wp:extent cx="4602480" cy="4648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264558" w:rsidRPr="00B916EC" w:rsidRDefault="00264558" w:rsidP="00264558">
      <w:r w:rsidRPr="00B916EC">
        <w:t>where,</w:t>
      </w:r>
      <w:r>
        <w:t xml:space="preserve"> </w:t>
      </w:r>
    </w:p>
    <w:p w:rsidR="00264558" w:rsidRPr="0071532D" w:rsidRDefault="00264558" w:rsidP="00264558">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264558" w:rsidRDefault="00264558" w:rsidP="00264558">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w:t>
      </w:r>
      <w:r w:rsidRPr="00A67F07">
        <w:rPr>
          <w:highlight w:val="yellow"/>
        </w:rPr>
        <w:t xml:space="preserve">, where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ja-JP"/>
              </w:rPr>
            </m:ctrlPr>
          </m:dPr>
          <m:e>
            <m:sSub>
              <m:sSubPr>
                <m:ctrlPr>
                  <w:rPr>
                    <w:rFonts w:ascii="Cambria Math" w:hAnsi="Cambria Math"/>
                    <w:i/>
                    <w:highlight w:val="yellow"/>
                    <w:lang w:eastAsia="ja-JP"/>
                  </w:rPr>
                </m:ctrlPr>
              </m:sSubPr>
              <m:e>
                <m:r>
                  <w:rPr>
                    <w:rFonts w:ascii="Cambria Math" w:hAnsi="Cambria Math"/>
                    <w:highlight w:val="yellow"/>
                    <w:lang w:eastAsia="ja-JP"/>
                  </w:rPr>
                  <m:t>q</m:t>
                </m:r>
              </m:e>
              <m:sub>
                <m:r>
                  <w:rPr>
                    <w:rFonts w:ascii="Cambria Math" w:hAnsi="Cambria Math"/>
                    <w:highlight w:val="yellow"/>
                    <w:lang w:eastAsia="ja-JP"/>
                  </w:rPr>
                  <m:t>s</m:t>
                </m:r>
              </m:sub>
            </m:sSub>
          </m:e>
        </m:d>
      </m:oMath>
      <w:r w:rsidRPr="00A67F07">
        <w:rPr>
          <w:highlight w:val="yellow"/>
          <w:lang w:eastAsia="ja-JP"/>
        </w:rPr>
        <w:t xml:space="preserve"> </w:t>
      </w:r>
      <w:r w:rsidRPr="00A67F07">
        <w:rPr>
          <w:highlight w:val="yellow"/>
        </w:rPr>
        <w:t>is the smallest value of all measured non-serving cells.</w:t>
      </w:r>
      <w:r>
        <w:t xml:space="preserve"> 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264558" w:rsidRDefault="00264558" w:rsidP="00264558">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264558" w:rsidRPr="00CF25C3" w:rsidRDefault="00264558" w:rsidP="00264558">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264558" w:rsidRDefault="00264558" w:rsidP="00264558">
      <w:pPr>
        <w:wordWrap/>
        <w:spacing w:before="60" w:after="60" w:line="288" w:lineRule="auto"/>
        <w:ind w:firstLine="284"/>
        <w:jc w:val="both"/>
      </w:pPr>
      <w:r>
        <w:t>***********************************TP for TS 38.213*******************************************</w:t>
      </w:r>
    </w:p>
    <w:p w:rsidR="00264558" w:rsidRDefault="00264558" w:rsidP="00264558">
      <w:pPr>
        <w:wordWrap/>
        <w:spacing w:before="60" w:after="60" w:line="288" w:lineRule="auto"/>
        <w:jc w:val="both"/>
      </w:pPr>
    </w:p>
    <w:p w:rsidR="00FA46FA" w:rsidRDefault="00FA46FA" w:rsidP="00FA46FA">
      <w:pPr>
        <w:wordWrap/>
        <w:spacing w:before="60" w:after="60" w:line="288" w:lineRule="auto"/>
        <w:ind w:firstLine="284"/>
        <w:jc w:val="both"/>
      </w:pPr>
      <w:r w:rsidRPr="00DC24B4">
        <w:t xml:space="preserve">When UE reports back its measurement results, e.g., </w:t>
      </w:r>
      <w:r>
        <w:t>RSTD</w:t>
      </w:r>
      <w:r w:rsidRPr="00DC24B4">
        <w:t>, the values should be quantized</w:t>
      </w:r>
      <w:r>
        <w:t xml:space="preserve"> and t</w:t>
      </w:r>
      <w:r w:rsidRPr="00DC24B4">
        <w:t>he quantization granularity determines the quantization error as well as the positioning accuracy. Basically</w:t>
      </w:r>
      <w:r>
        <w:t>,</w:t>
      </w:r>
      <w:r w:rsidRPr="00DC24B4">
        <w:t xml:space="preserve"> the higher the quantization granularity the more accurate the positioning is. However, very high quantization granularity will also create large </w:t>
      </w:r>
      <w:r w:rsidRPr="00DC24B4">
        <w:lastRenderedPageBreak/>
        <w:t>signaling overhead and may increase the positioning latency. In this regards, the qua</w:t>
      </w:r>
      <w:r>
        <w:t>n</w:t>
      </w:r>
      <w:r w:rsidRPr="00DC24B4">
        <w:t xml:space="preserve">tization granularity should be determined by the required positioning accuracy. </w:t>
      </w:r>
      <w:r>
        <w:t xml:space="preserve">In this regard, </w:t>
      </w:r>
      <w:r w:rsidRPr="00DC24B4">
        <w:t>multiple quantization granularit</w:t>
      </w:r>
      <w:r>
        <w:t>ies</w:t>
      </w:r>
      <w:r w:rsidRPr="00DC24B4">
        <w:t xml:space="preserve"> should be supported. For high accuracy requirement, finer qua</w:t>
      </w:r>
      <w:r>
        <w:t>n</w:t>
      </w:r>
      <w:r w:rsidRPr="00DC24B4">
        <w:t xml:space="preserve">tization granularity can be configured and for low accuracy requirement, coarse granularity can be configured to reduce signaling overhead. </w:t>
      </w:r>
    </w:p>
    <w:p w:rsidR="00FA46FA" w:rsidRDefault="00FA46FA" w:rsidP="00FA46FA">
      <w:pPr>
        <w:wordWrap/>
        <w:spacing w:before="60" w:after="60" w:line="288" w:lineRule="auto"/>
        <w:ind w:firstLine="284"/>
        <w:jc w:val="both"/>
      </w:pPr>
      <w:r>
        <w:t xml:space="preserve">It has been agreed that </w:t>
      </w:r>
      <w:r w:rsidRPr="00D16657">
        <w:t xml:space="preserve">NR </w:t>
      </w:r>
      <w:r>
        <w:t xml:space="preserve">should </w:t>
      </w:r>
      <w:r w:rsidRPr="00D16657">
        <w:t>support RSRP measurement for NR DL PRS</w:t>
      </w:r>
      <w:r>
        <w:t xml:space="preserve"> and such measurement can be used to determine DL PRS quality. The quality reflects how accurate the positioning measurement is expected. However, since UE needs to measure multiple gNBs and reporting all RSRP measurements may incur high signaling overhead. In such a case, UE can report only a subset of RSRP measurements based on gNB configuration to reduce reporting signaling overhead. For example, UE can report only the best N RSRP measurements. It should be noted that the RSRP measurement can be reported in a timing granularity different from RSTD measurement since the signal strength may change even without UE movement.</w:t>
      </w:r>
    </w:p>
    <w:p w:rsidR="00FA46FA" w:rsidRDefault="00FA46FA" w:rsidP="00FA46FA">
      <w:pPr>
        <w:wordWrap/>
        <w:spacing w:before="60" w:after="60" w:line="288" w:lineRule="auto"/>
        <w:ind w:firstLine="284"/>
        <w:jc w:val="both"/>
      </w:pPr>
      <w:r>
        <w:t>PRS with wider bandwidth and short periodicity can be configured</w:t>
      </w:r>
      <w:r w:rsidRPr="00882131">
        <w:t xml:space="preserve"> and shared by </w:t>
      </w:r>
      <w:r>
        <w:t>a group of</w:t>
      </w:r>
      <w:r w:rsidRPr="00882131">
        <w:t xml:space="preserve"> UEs to guarantee that the </w:t>
      </w:r>
      <w:r>
        <w:t xml:space="preserve">most stringent </w:t>
      </w:r>
      <w:r w:rsidRPr="00882131">
        <w:t xml:space="preserve">positioning requirement can be met. However, in order to save UE power consumption, especially for IoT devices with stringent power consumption requirements, different measurement window </w:t>
      </w:r>
      <w:r>
        <w:t xml:space="preserve">in time and frequency domain </w:t>
      </w:r>
      <w:r w:rsidRPr="00882131">
        <w:t>can be configured to different UE</w:t>
      </w:r>
      <w:r>
        <w:t>s</w:t>
      </w:r>
      <w:r w:rsidRPr="00882131">
        <w:t>.</w:t>
      </w:r>
    </w:p>
    <w:p w:rsidR="00FA46FA" w:rsidRDefault="00FA46FA" w:rsidP="00FA46FA">
      <w:pPr>
        <w:wordWrap/>
        <w:spacing w:before="60" w:after="60" w:line="288" w:lineRule="auto"/>
        <w:jc w:val="both"/>
        <w:rPr>
          <w:i/>
        </w:rPr>
      </w:pPr>
      <w:r w:rsidRPr="00741B56">
        <w:rPr>
          <w:b/>
          <w:i/>
        </w:rPr>
        <w:t xml:space="preserve">Proposal </w:t>
      </w:r>
      <w:r>
        <w:rPr>
          <w:b/>
          <w:i/>
        </w:rPr>
        <w:t>3</w:t>
      </w:r>
      <w:r w:rsidRPr="00741B56">
        <w:rPr>
          <w:i/>
        </w:rPr>
        <w:t xml:space="preserve">: </w:t>
      </w:r>
      <w:r>
        <w:rPr>
          <w:i/>
        </w:rPr>
        <w:t>Following aspects should be supported for UE measurement and report</w:t>
      </w:r>
    </w:p>
    <w:p w:rsidR="00FA46FA" w:rsidRPr="004B6DCE" w:rsidRDefault="00FA46FA" w:rsidP="00FA46FA">
      <w:pPr>
        <w:pStyle w:val="ListParagraph"/>
        <w:numPr>
          <w:ilvl w:val="0"/>
          <w:numId w:val="2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FA46FA" w:rsidRPr="00693A3A" w:rsidRDefault="00FA46FA" w:rsidP="00FA46FA">
      <w:pPr>
        <w:pStyle w:val="ListParagraph"/>
        <w:numPr>
          <w:ilvl w:val="0"/>
          <w:numId w:val="29"/>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 xml:space="preserve">reaming issues for </w:t>
      </w:r>
      <w:r w:rsidR="00FA46FA">
        <w:rPr>
          <w:lang w:val="en-GB"/>
        </w:rPr>
        <w:t>p</w:t>
      </w:r>
      <w:r w:rsidR="00FA46FA" w:rsidRPr="008C6C22">
        <w:rPr>
          <w:lang w:val="en-GB"/>
        </w:rPr>
        <w:t>hysical-layer procedures to support UE/gNB measurements</w:t>
      </w:r>
      <w:r>
        <w:rPr>
          <w:rFonts w:eastAsia="Malgun Gothic"/>
          <w:color w:val="000000"/>
        </w:rPr>
        <w:t>.</w:t>
      </w:r>
    </w:p>
    <w:p w:rsidR="00FA46FA" w:rsidRPr="00F00BDF" w:rsidRDefault="00FA46FA" w:rsidP="00FA46FA">
      <w:pPr>
        <w:wordWrap/>
        <w:spacing w:before="60" w:after="60" w:line="288" w:lineRule="auto"/>
        <w:jc w:val="both"/>
        <w:rPr>
          <w:i/>
        </w:rPr>
      </w:pPr>
      <w:r w:rsidRPr="00F00BDF">
        <w:rPr>
          <w:b/>
          <w:i/>
        </w:rPr>
        <w:t>Proposal 1</w:t>
      </w:r>
      <w:r w:rsidRPr="00F00BDF">
        <w:rPr>
          <w:i/>
        </w:rPr>
        <w:t>: The following working assumption should be confirmed.</w:t>
      </w:r>
    </w:p>
    <w:p w:rsidR="00FA46FA" w:rsidRPr="0060316B" w:rsidRDefault="00FA46FA" w:rsidP="00FA46FA">
      <w:pPr>
        <w:pStyle w:val="ListParagraph"/>
        <w:numPr>
          <w:ilvl w:val="0"/>
          <w:numId w:val="24"/>
        </w:numPr>
        <w:overflowPunct w:val="0"/>
        <w:autoSpaceDE w:val="0"/>
        <w:autoSpaceDN w:val="0"/>
        <w:adjustRightInd w:val="0"/>
        <w:textAlignment w:val="baseline"/>
        <w:rPr>
          <w:lang w:val="en-US" w:eastAsia="ko-KR"/>
        </w:rPr>
      </w:pPr>
      <w:r w:rsidRPr="00A63D18">
        <w:rPr>
          <w:lang w:eastAsia="ko-KR"/>
        </w:rPr>
        <w:t>For DL-PRS processing, the following SSB assistance data can be provided for an indicated SSB:</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A63D18">
        <w:rPr>
          <w:lang w:eastAsia="ko-KR"/>
        </w:rPr>
        <w:t xml:space="preserve">PCI of the </w:t>
      </w:r>
      <w:r w:rsidRPr="006F64D3">
        <w:rPr>
          <w:lang w:eastAsia="ko-KR"/>
        </w:rPr>
        <w:t>cell</w:t>
      </w:r>
      <w:r w:rsidRPr="00A63D18">
        <w:rPr>
          <w:lang w:eastAsia="ko-KR"/>
        </w:rPr>
        <w:t xml:space="preserve"> </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ssbFrequency</w:t>
      </w:r>
      <w:r w:rsidRPr="00A63D18">
        <w:rPr>
          <w:lang w:eastAsia="ko-KR"/>
        </w:rPr>
        <w:t xml:space="preserve"> with values: </w:t>
      </w:r>
      <w:r w:rsidRPr="0060316B">
        <w:rPr>
          <w:i/>
          <w:iCs/>
          <w:lang w:eastAsia="ko-KR"/>
        </w:rPr>
        <w:t>ARFCN-ValueNR</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halfFrameIndex</w:t>
      </w:r>
      <w:r w:rsidRPr="00A63D18">
        <w:rPr>
          <w:lang w:eastAsia="ko-KR"/>
        </w:rPr>
        <w:t xml:space="preserve"> with values: 0 or 1</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SSB-periodicity</w:t>
      </w:r>
      <w:r w:rsidRPr="00A63D18">
        <w:rPr>
          <w:lang w:eastAsia="ko-KR"/>
        </w:rPr>
        <w:t xml:space="preserve"> with the values: </w:t>
      </w:r>
      <w:r w:rsidRPr="0060316B">
        <w:rPr>
          <w:i/>
          <w:iCs/>
          <w:lang w:eastAsia="ko-KR"/>
        </w:rPr>
        <w:t>ServingCellConfigCommon</w:t>
      </w:r>
      <w:r w:rsidRPr="00A63D18">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SSB-positionInBurst</w:t>
      </w:r>
      <w:r w:rsidRPr="00A63D18">
        <w:rPr>
          <w:lang w:eastAsia="ko-KR"/>
        </w:rPr>
        <w:t xml:space="preserve"> with values: of </w:t>
      </w:r>
      <w:r w:rsidRPr="0060316B">
        <w:rPr>
          <w:i/>
          <w:iCs/>
          <w:lang w:eastAsia="ko-KR"/>
        </w:rPr>
        <w:t>ServingCellConfigCommon</w:t>
      </w:r>
      <w:r w:rsidRPr="00A63D18">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lang w:eastAsia="ko-KR"/>
        </w:rPr>
        <w:t>ssbSubcarrierSpacing</w:t>
      </w:r>
      <w:r>
        <w:rPr>
          <w:lang w:eastAsia="ko-KR"/>
        </w:rPr>
        <w:t xml:space="preserve"> with values: </w:t>
      </w:r>
      <w:r w:rsidRPr="0060316B">
        <w:rPr>
          <w:i/>
          <w:lang w:eastAsia="ko-KR"/>
        </w:rPr>
        <w:t>SubcarrierSpacing</w:t>
      </w:r>
      <w:r>
        <w:rPr>
          <w:lang w:eastAsia="ko-KR"/>
        </w:rPr>
        <w:t xml:space="preserve"> IE</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
          <w:iCs/>
          <w:lang w:eastAsia="ko-KR"/>
        </w:rPr>
        <w:t>SFN-SSBoffset</w:t>
      </w:r>
      <w:r w:rsidRPr="00A63D18">
        <w:rPr>
          <w:lang w:eastAsia="ko-KR"/>
        </w:rPr>
        <w:t xml:space="preserve"> with values {0,1,2,…15}</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60316B">
        <w:rPr>
          <w:iCs/>
          <w:lang w:eastAsia="ko-KR"/>
        </w:rPr>
        <w:t xml:space="preserve">Working assumption: </w:t>
      </w:r>
      <w:r w:rsidRPr="0060316B">
        <w:rPr>
          <w:i/>
          <w:iCs/>
          <w:lang w:eastAsia="ko-KR"/>
        </w:rPr>
        <w:t xml:space="preserve">Smtc </w:t>
      </w:r>
      <w:r w:rsidRPr="00277CD3">
        <w:rPr>
          <w:lang w:eastAsia="ko-KR"/>
        </w:rPr>
        <w:t>per SSB frequency layer with values</w:t>
      </w:r>
      <w:r w:rsidRPr="0060316B">
        <w:rPr>
          <w:iCs/>
          <w:lang w:eastAsia="ko-KR"/>
        </w:rPr>
        <w:t>:</w:t>
      </w:r>
      <w:r w:rsidRPr="0060316B">
        <w:rPr>
          <w:i/>
          <w:iCs/>
          <w:lang w:eastAsia="ko-KR"/>
        </w:rPr>
        <w:t xml:space="preserve"> SSB-MTC </w:t>
      </w:r>
      <w:r w:rsidRPr="0060316B">
        <w:rPr>
          <w:iCs/>
          <w:lang w:eastAsia="ko-KR"/>
        </w:rPr>
        <w:t>IE</w:t>
      </w:r>
      <w:r w:rsidRPr="00277CD3">
        <w:rPr>
          <w:lang w:eastAsia="ko-KR"/>
        </w:rPr>
        <w:t xml:space="preserve"> </w:t>
      </w:r>
    </w:p>
    <w:p w:rsidR="00FA46FA" w:rsidRPr="0060316B" w:rsidRDefault="00FA46FA" w:rsidP="00FA46FA">
      <w:pPr>
        <w:pStyle w:val="ListParagraph"/>
        <w:numPr>
          <w:ilvl w:val="1"/>
          <w:numId w:val="24"/>
        </w:numPr>
        <w:overflowPunct w:val="0"/>
        <w:autoSpaceDE w:val="0"/>
        <w:autoSpaceDN w:val="0"/>
        <w:adjustRightInd w:val="0"/>
        <w:textAlignment w:val="baseline"/>
        <w:rPr>
          <w:lang w:val="en-US" w:eastAsia="ko-KR"/>
        </w:rPr>
      </w:pPr>
      <w:r w:rsidRPr="00277CD3">
        <w:rPr>
          <w:lang w:eastAsia="ko-KR"/>
        </w:rPr>
        <w:t>SSB Index</w:t>
      </w:r>
    </w:p>
    <w:p w:rsidR="00264558" w:rsidRDefault="00264558" w:rsidP="00264558">
      <w:pPr>
        <w:wordWrap/>
        <w:spacing w:before="60" w:after="60" w:line="288" w:lineRule="auto"/>
        <w:jc w:val="both"/>
        <w:rPr>
          <w:i/>
        </w:rPr>
      </w:pPr>
      <w:r w:rsidRPr="00FA46FA">
        <w:rPr>
          <w:b/>
          <w:i/>
        </w:rPr>
        <w:t>Proposal 2</w:t>
      </w:r>
      <w:r>
        <w:rPr>
          <w:i/>
        </w:rPr>
        <w:t xml:space="preserve">: </w:t>
      </w:r>
      <w:r w:rsidRPr="00A67F07">
        <w:rPr>
          <w:i/>
        </w:rPr>
        <w:t xml:space="preserve">UE </w:t>
      </w:r>
      <w:r>
        <w:rPr>
          <w:i/>
        </w:rPr>
        <w:t>should</w:t>
      </w:r>
      <w:r w:rsidRPr="00A67F07">
        <w:rPr>
          <w:i/>
        </w:rPr>
        <w:t xml:space="preserve"> </w:t>
      </w:r>
      <w:r>
        <w:rPr>
          <w:i/>
        </w:rPr>
        <w:t xml:space="preserve">identify </w:t>
      </w:r>
      <w:r w:rsidRPr="00A67F07">
        <w:rPr>
          <w:i/>
        </w:rPr>
        <w:t>the weakest link quality and transmit based on the weakest link quality as long as it is lower than the maximum allowed transmit power per carrier to ensure successful reception of SRS by the non-serving cells</w:t>
      </w:r>
      <w:r>
        <w:rPr>
          <w:i/>
        </w:rPr>
        <w:t>. The following TP should be captured in TS 38.213.</w:t>
      </w:r>
    </w:p>
    <w:p w:rsidR="00264558" w:rsidRDefault="00264558" w:rsidP="00264558">
      <w:pPr>
        <w:wordWrap/>
        <w:spacing w:before="60" w:after="60" w:line="288" w:lineRule="auto"/>
        <w:ind w:firstLine="284"/>
        <w:jc w:val="both"/>
      </w:pPr>
      <w:r>
        <w:t>***********************************</w:t>
      </w:r>
      <w:r w:rsidRPr="00A67F07">
        <w:t xml:space="preserve"> </w:t>
      </w:r>
      <w:r>
        <w:t>TP for TS 38.213********************************************</w:t>
      </w:r>
    </w:p>
    <w:p w:rsidR="00264558" w:rsidRPr="00B916EC" w:rsidRDefault="00264558" w:rsidP="00264558">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264558" w:rsidRPr="00B916EC" w:rsidRDefault="00264558" w:rsidP="00264558">
      <w:pPr>
        <w:pStyle w:val="EQ"/>
        <w:jc w:val="center"/>
      </w:pPr>
      <w:r>
        <w:rPr>
          <w:position w:val="-32"/>
          <w:lang w:val="en-GB" w:eastAsia="zh-CN"/>
        </w:rPr>
        <w:drawing>
          <wp:inline distT="0" distB="0" distL="0" distR="0" wp14:anchorId="77CCC8E5" wp14:editId="0643E77D">
            <wp:extent cx="4602480" cy="4648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264558" w:rsidRPr="00B916EC" w:rsidRDefault="00264558" w:rsidP="00264558">
      <w:r w:rsidRPr="00B916EC">
        <w:t>where,</w:t>
      </w:r>
      <w:r>
        <w:t xml:space="preserve"> </w:t>
      </w:r>
    </w:p>
    <w:p w:rsidR="00264558" w:rsidRPr="0071532D" w:rsidRDefault="00264558" w:rsidP="00264558">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264558" w:rsidRDefault="00264558" w:rsidP="00264558">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w:t>
      </w:r>
      <w:r w:rsidRPr="00A67F07">
        <w:rPr>
          <w:highlight w:val="yellow"/>
        </w:rPr>
        <w:t xml:space="preserve">, where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ja-JP"/>
              </w:rPr>
            </m:ctrlPr>
          </m:dPr>
          <m:e>
            <m:sSub>
              <m:sSubPr>
                <m:ctrlPr>
                  <w:rPr>
                    <w:rFonts w:ascii="Cambria Math" w:hAnsi="Cambria Math"/>
                    <w:i/>
                    <w:highlight w:val="yellow"/>
                    <w:lang w:eastAsia="ja-JP"/>
                  </w:rPr>
                </m:ctrlPr>
              </m:sSubPr>
              <m:e>
                <m:r>
                  <w:rPr>
                    <w:rFonts w:ascii="Cambria Math" w:hAnsi="Cambria Math"/>
                    <w:highlight w:val="yellow"/>
                    <w:lang w:eastAsia="ja-JP"/>
                  </w:rPr>
                  <m:t>q</m:t>
                </m:r>
              </m:e>
              <m:sub>
                <m:r>
                  <w:rPr>
                    <w:rFonts w:ascii="Cambria Math" w:hAnsi="Cambria Math"/>
                    <w:highlight w:val="yellow"/>
                    <w:lang w:eastAsia="ja-JP"/>
                  </w:rPr>
                  <m:t>s</m:t>
                </m:r>
              </m:sub>
            </m:sSub>
          </m:e>
        </m:d>
      </m:oMath>
      <w:r w:rsidRPr="00A67F07">
        <w:rPr>
          <w:highlight w:val="yellow"/>
          <w:lang w:eastAsia="ja-JP"/>
        </w:rPr>
        <w:t xml:space="preserve"> </w:t>
      </w:r>
      <w:r w:rsidRPr="00A67F07">
        <w:rPr>
          <w:highlight w:val="yellow"/>
        </w:rPr>
        <w:t>is the smallest value of all measured non-serving cells.</w:t>
      </w:r>
      <w:r>
        <w:t xml:space="preserve"> 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264558" w:rsidRDefault="00264558" w:rsidP="00264558">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264558" w:rsidRPr="00CF25C3" w:rsidRDefault="00264558" w:rsidP="00264558">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264558" w:rsidRDefault="00264558" w:rsidP="00264558">
      <w:pPr>
        <w:wordWrap/>
        <w:spacing w:before="60" w:after="60" w:line="288" w:lineRule="auto"/>
        <w:ind w:firstLine="284"/>
        <w:jc w:val="both"/>
      </w:pPr>
      <w:r>
        <w:lastRenderedPageBreak/>
        <w:t>***********************************TP for TS 38.213*******************************************</w:t>
      </w:r>
    </w:p>
    <w:p w:rsidR="00FA46FA" w:rsidRDefault="00FA46FA" w:rsidP="00FA46FA">
      <w:pPr>
        <w:wordWrap/>
        <w:spacing w:before="60" w:after="60" w:line="288" w:lineRule="auto"/>
        <w:jc w:val="both"/>
        <w:rPr>
          <w:i/>
        </w:rPr>
      </w:pPr>
      <w:r w:rsidRPr="00741B56">
        <w:rPr>
          <w:b/>
          <w:i/>
        </w:rPr>
        <w:t xml:space="preserve">Proposal </w:t>
      </w:r>
      <w:r>
        <w:rPr>
          <w:b/>
          <w:i/>
        </w:rPr>
        <w:t>3</w:t>
      </w:r>
      <w:r w:rsidRPr="00741B56">
        <w:rPr>
          <w:i/>
        </w:rPr>
        <w:t xml:space="preserve">: </w:t>
      </w:r>
      <w:r>
        <w:rPr>
          <w:i/>
        </w:rPr>
        <w:t>Following aspects should be supported for UE measurement and report</w:t>
      </w:r>
    </w:p>
    <w:p w:rsidR="00FA46FA" w:rsidRPr="004B6DCE" w:rsidRDefault="00FA46FA" w:rsidP="00FA46FA">
      <w:pPr>
        <w:pStyle w:val="ListParagraph"/>
        <w:numPr>
          <w:ilvl w:val="0"/>
          <w:numId w:val="29"/>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rsidR="00FA46FA" w:rsidRPr="00693A3A" w:rsidRDefault="00FA46FA" w:rsidP="00FA46FA">
      <w:pPr>
        <w:pStyle w:val="ListParagraph"/>
        <w:numPr>
          <w:ilvl w:val="0"/>
          <w:numId w:val="29"/>
        </w:numPr>
        <w:spacing w:before="60" w:after="60" w:line="288" w:lineRule="auto"/>
        <w:jc w:val="both"/>
        <w:rPr>
          <w:i/>
        </w:rPr>
      </w:pPr>
      <w:r>
        <w:rPr>
          <w:i/>
          <w:lang w:val="en-GB"/>
        </w:rPr>
        <w:t xml:space="preserve">Configurable </w:t>
      </w:r>
      <w:r w:rsidRPr="004B6DCE">
        <w:rPr>
          <w:i/>
        </w:rPr>
        <w:t xml:space="preserve">UE measurement window for low </w:t>
      </w:r>
      <w:r>
        <w:rPr>
          <w:i/>
          <w:lang w:val="en-GB"/>
        </w:rPr>
        <w:t xml:space="preserve">complexity and low </w:t>
      </w:r>
      <w:r w:rsidRPr="004B6DCE">
        <w:rPr>
          <w:i/>
        </w:rPr>
        <w:t>power consumption</w:t>
      </w:r>
      <w:r>
        <w:rPr>
          <w:i/>
          <w:lang w:val="en-GB"/>
        </w:rPr>
        <w:t>.</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w:t>
      </w:r>
      <w:r w:rsidR="009E01B9">
        <w:rPr>
          <w:bCs/>
          <w:lang w:eastAsia="ja-JP"/>
        </w:rPr>
        <w:t>100-e</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4FC" w:rsidRPr="00C47AD2" w:rsidRDefault="003F04FC">
      <w:pPr>
        <w:rPr>
          <w:rFonts w:ascii="Arial" w:hAnsi="Arial"/>
          <w:sz w:val="12"/>
        </w:rPr>
      </w:pPr>
      <w:r>
        <w:separator/>
      </w:r>
    </w:p>
  </w:endnote>
  <w:endnote w:type="continuationSeparator" w:id="0">
    <w:p w:rsidR="003F04FC" w:rsidRPr="00C47AD2" w:rsidRDefault="003F04F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75113F">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4FC" w:rsidRPr="00C47AD2" w:rsidRDefault="003F04FC">
      <w:pPr>
        <w:rPr>
          <w:rFonts w:ascii="Arial" w:hAnsi="Arial"/>
          <w:sz w:val="12"/>
        </w:rPr>
      </w:pPr>
      <w:r>
        <w:separator/>
      </w:r>
    </w:p>
  </w:footnote>
  <w:footnote w:type="continuationSeparator" w:id="0">
    <w:p w:rsidR="003F04FC" w:rsidRPr="00C47AD2" w:rsidRDefault="003F04FC">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2340E7"/>
    <w:multiLevelType w:val="hybridMultilevel"/>
    <w:tmpl w:val="5C4A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823C5"/>
    <w:multiLevelType w:val="hybridMultilevel"/>
    <w:tmpl w:val="C4E88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B18CB"/>
    <w:multiLevelType w:val="hybridMultilevel"/>
    <w:tmpl w:val="D3064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CE426E"/>
    <w:multiLevelType w:val="hybridMultilevel"/>
    <w:tmpl w:val="5A2A6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677BFA"/>
    <w:multiLevelType w:val="hybridMultilevel"/>
    <w:tmpl w:val="FCD63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7"/>
  </w:num>
  <w:num w:numId="6">
    <w:abstractNumId w:val="28"/>
  </w:num>
  <w:num w:numId="7">
    <w:abstractNumId w:val="18"/>
  </w:num>
  <w:num w:numId="8">
    <w:abstractNumId w:val="14"/>
  </w:num>
  <w:num w:numId="9">
    <w:abstractNumId w:val="26"/>
  </w:num>
  <w:num w:numId="10">
    <w:abstractNumId w:val="2"/>
  </w:num>
  <w:num w:numId="11">
    <w:abstractNumId w:val="3"/>
  </w:num>
  <w:num w:numId="12">
    <w:abstractNumId w:val="27"/>
  </w:num>
  <w:num w:numId="13">
    <w:abstractNumId w:val="1"/>
  </w:num>
  <w:num w:numId="14">
    <w:abstractNumId w:val="12"/>
  </w:num>
  <w:num w:numId="15">
    <w:abstractNumId w:val="13"/>
  </w:num>
  <w:num w:numId="16">
    <w:abstractNumId w:val="23"/>
  </w:num>
  <w:num w:numId="17">
    <w:abstractNumId w:val="6"/>
  </w:num>
  <w:num w:numId="18">
    <w:abstractNumId w:val="20"/>
  </w:num>
  <w:num w:numId="19">
    <w:abstractNumId w:val="15"/>
  </w:num>
  <w:num w:numId="20">
    <w:abstractNumId w:val="10"/>
  </w:num>
  <w:num w:numId="21">
    <w:abstractNumId w:val="8"/>
  </w:num>
  <w:num w:numId="22">
    <w:abstractNumId w:val="4"/>
  </w:num>
  <w:num w:numId="23">
    <w:abstractNumId w:val="21"/>
  </w:num>
  <w:num w:numId="24">
    <w:abstractNumId w:val="22"/>
  </w:num>
  <w:num w:numId="25">
    <w:abstractNumId w:val="16"/>
  </w:num>
  <w:num w:numId="26">
    <w:abstractNumId w:val="11"/>
  </w:num>
  <w:num w:numId="27">
    <w:abstractNumId w:val="5"/>
  </w:num>
  <w:num w:numId="28">
    <w:abstractNumId w:val="19"/>
  </w:num>
  <w:num w:numId="2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164"/>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9E1"/>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381"/>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558"/>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4FC"/>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1B"/>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5FBF"/>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5FF"/>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13F"/>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2DC"/>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4DC"/>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2B4"/>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22"/>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1B9"/>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1E1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C70"/>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BDF"/>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6FA"/>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2Char">
    <w:name w:val="B2 Char"/>
    <w:link w:val="B2"/>
    <w:qFormat/>
    <w:rsid w:val="00264558"/>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AppData\Local\Temp\Docs\R1-2001364.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yinan.qi\AppData\Local\Temp\Docs\R1-2001366.zip" TargetMode="External"/><Relationship Id="rId4" Type="http://schemas.openxmlformats.org/officeDocument/2006/relationships/settings" Target="settings.xml"/><Relationship Id="rId9" Type="http://schemas.openxmlformats.org/officeDocument/2006/relationships/hyperlink" Target="file:///C:\Users\yinan.qi\AppData\Local\Temp\Docs\R1-200136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54C1-8036-490B-ACF9-A9C1A13F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1726</Words>
  <Characters>9843</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2020-04-09T10:43:00Z</dcterms:created>
  <dcterms:modified xsi:type="dcterms:W3CDTF">2020-04-09T10:43:00Z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